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napToGrid w:val="0"/>
        <w:pStyle w:val="Normal"/>
        <w:spacing w:lineRule="auto" w:line="228" w:after="20"/>
        <w:jc w:val="center"/>
        <w:rPr>
          <w:rFonts w:ascii="標楷體" w:hAnsi="標楷體" w:eastAsia="標楷體" w:cs="標楷體"/>
          <w:kern w:val="0"/>
          <w:sz w:val="32"/>
          <w:szCs w:val="32"/>
        </w:rPr>
      </w:pPr>
      <w:r>
        <w:rPr>
          <w:rFonts w:ascii="Arial" w:hAnsi="Arial" w:eastAsia="Arial" w:cs="Arial"/>
          <w:b/>
          <w:sz w:val="23"/>
        </w:rPr>
        <w:t>Graduate Institute of Biomedical Electronics and Bioinformatics, National Taiwan University</w:t>
        <w:br/>
        <w:t>Ph.D. Candidacy Qualifying Examination</w:t>
      </w:r>
    </w:p>
    <w:p>
      <w:pPr>
        <w:snapToGrid w:val="0"/>
        <w:pStyle w:val="BodyText"/>
        <w:spacing w:lineRule="atLeast" w:line="0" w:after="20"/>
        <w:jc w:val="center"/>
        <w:rPr>
          <w:rFonts w:cs="標楷體"/>
          <w:sz w:val="32"/>
          <w:szCs w:val="32"/>
        </w:rPr>
      </w:pPr>
      <w:r>
        <w:rPr>
          <w:rFonts w:ascii="Arial" w:hAnsi="Arial" w:eastAsia="Arial" w:cs="Arial"/>
          <w:b/>
          <w:sz w:val="26"/>
        </w:rPr>
        <w:t>Application Form for Examination Accommodations for Examinees with Disabilities</w:t>
      </w:r>
    </w:p>
    <w:p>
      <w:pPr>
        <w:snapToGrid w:val="0"/>
        <w:pStyle w:val="BodyText"/>
        <w:spacing w:lineRule="atLeast" w:line="0" w:after="20"/>
        <w:ind w:firstLine="160" w:right="0"/>
        <w:jc w:val="both"/>
        <w:rPr>
          <w:rFonts w:ascii="華康魏碑體" w:hAnsi="華康魏碑體" w:eastAsia="華康魏碑體"/>
          <w:sz w:val="36"/>
        </w:rPr>
      </w:pPr>
      <w:r>
        <w:rPr>
          <w:rFonts w:ascii="Arial" w:hAnsi="Arial" w:eastAsia="Arial" w:cs="Arial"/>
          <w:b/>
          <w:sz w:val="25"/>
        </w:rPr>
        <w:t>Examinee Name: ______________________________</w:t>
      </w:r>
    </w:p>
    <w:tbl>
      <w:tblPr>
        <w:tblW w:w="941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59"/>
        <w:gridCol w:w="2646"/>
        <w:gridCol w:w="2059"/>
        <w:gridCol w:w="2646"/>
      </w:tblGrid>
      <w:tr>
        <w:trPr>
          <w:trHeight w:val="567" w:hRule="atLeast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9"/>
              </w:rPr>
              <w:t>Student ID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sz w:val="19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9"/>
              </w:rPr>
              <w:t>Division/Group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sz w:val="19"/>
              </w:rPr>
            </w:r>
          </w:p>
        </w:tc>
      </w:tr>
      <w:tr>
        <w:trPr>
          <w:trHeight w:val="1098" w:hRule="atLeast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9"/>
              </w:rPr>
              <w:t>Contact Person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sz w:val="19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9"/>
              </w:rPr>
              <w:t>Telephone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16" w:lineRule="auto"/>
              <w:jc w:val="left"/>
            </w:pPr>
            <w:r>
              <w:rPr>
                <w:rFonts w:ascii="Arial" w:hAnsi="Arial" w:eastAsia="Arial" w:cs="Arial"/>
                <w:b w:val="0"/>
                <w:sz w:val="18"/>
              </w:rPr>
              <w:t>Home: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8"/>
              </w:rPr>
              <w:t>Office: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8"/>
              </w:rPr>
              <w:t>Mobile:</w:t>
            </w:r>
          </w:p>
        </w:tc>
      </w:tr>
      <w:tr>
        <w:trPr>
          <w:trHeight w:val="1483" w:hRule="atLeast"/>
          <w:cantSplit w:val="true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16" w:lineRule="auto"/>
              <w:jc w:val="center"/>
            </w:pPr>
            <w:r>
              <w:rPr>
                <w:rFonts w:ascii="Arial" w:hAnsi="Arial" w:eastAsia="Arial" w:cs="Arial"/>
                <w:b/>
                <w:sz w:val="17"/>
              </w:rPr>
              <w:t>Medical Condition Summary</w:t>
            </w:r>
            <w:r>
              <w:br/>
            </w:r>
            <w:r>
              <w:rPr>
                <w:rFonts w:ascii="Arial" w:hAnsi="Arial" w:eastAsia="Arial" w:cs="Arial"/>
                <w:b/>
                <w:sz w:val="17"/>
              </w:rPr>
              <w:t>(Hospital diagnosis required)</w:t>
            </w:r>
          </w:p>
        </w:tc>
        <w:tc>
          <w:tcPr>
            <w:tcW w:w="7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28" w:lineRule="auto"/>
              <w:jc w:val="left"/>
            </w:pPr>
            <w:r>
              <w:rPr>
                <w:rFonts w:ascii="Arial" w:hAnsi="Arial" w:eastAsia="Arial" w:cs="Arial"/>
                <w:b w:val="0"/>
                <w:sz w:val="17"/>
              </w:rPr>
              <w:t>Type: □ Lower-limb impairment   □ Impairment of dominant hand   □ Other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7"/>
              </w:rPr>
              <w:t>Description:</w:t>
            </w:r>
          </w:p>
        </w:tc>
      </w:tr>
      <w:tr>
        <w:trPr>
          <w:trHeight w:val="567" w:hRule="atLeast"/>
          <w:cantSplit w:val="true"/>
        </w:trPr>
        <w:tc>
          <w:tcPr>
            <w:tcW w:w="9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9"/>
              </w:rPr>
              <w:t>Requested Services (check all that apply)</w:t>
            </w:r>
          </w:p>
        </w:tc>
      </w:tr>
      <w:tr>
        <w:trPr>
          <w:trHeight w:val="2310" w:hRule="atLeast"/>
          <w:cantSplit w:val="true"/>
        </w:trPr>
        <w:tc>
          <w:tcPr>
            <w:tcW w:w="9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after="0" w:line="211" w:lineRule="auto"/>
              <w:jc w:val="left"/>
            </w:pPr>
            <w:r>
              <w:rPr>
                <w:rFonts w:ascii="Arial" w:hAnsi="Arial" w:eastAsia="Arial" w:cs="Arial"/>
                <w:b w:val="0"/>
                <w:sz w:val="15"/>
              </w:rPr>
              <w:t>□ 1. Priority entry into the examination room.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2. Extension of examination time, up to a maximum of 50 minutes per subject.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3. Use of an examination booklet or test paper enlarged to 200%.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4. For multiple-choice or fill-in-the-blank questions, write answers on a blank A4 answer sheet with enlarged formatting for transcription by examination staff, or answer using a Braille writer or a computer equipped for examinees with visual impairments.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5. Answer non-multiple-choice or fill-in-the-blank questions using a Braille writer or a computer equipped for examinees with visual impairments.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6. Use of assistive devices, such as a magnifier, to read or record answers.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7. Assignment to a lower-floor examination room, a room with fewer examinees, or a seat that facilitates taking the examination.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8. Use of a hearing aid or other personal medical device.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9. A specially designed desk/chair or other assistive equipment that facilitates taking the examination.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5"/>
              </w:rPr>
              <w:t>□ 10. Other special needs or necessary assistance arising from the disability, injury, or illness:</w:t>
            </w:r>
          </w:p>
        </w:tc>
      </w:tr>
      <w:tr>
        <w:trPr>
          <w:trHeight w:val="932" w:hRule="atLeast"/>
          <w:cantSplit w:val="true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7"/>
              </w:rPr>
              <w:t>Equipment to Be Provided by the Examination Site</w:t>
            </w:r>
          </w:p>
        </w:tc>
        <w:tc>
          <w:tcPr>
            <w:tcW w:w="7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28" w:lineRule="auto"/>
              <w:jc w:val="left"/>
            </w:pPr>
            <w:r>
              <w:rPr>
                <w:rFonts w:ascii="Arial" w:hAnsi="Arial" w:eastAsia="Arial" w:cs="Arial"/>
                <w:b w:val="0"/>
                <w:sz w:val="17"/>
              </w:rPr>
              <w:t>□ Specially designed desk/chair</w:t>
            </w:r>
            <w:r>
              <w:br/>
            </w:r>
            <w:r>
              <w:rPr>
                <w:rFonts w:ascii="Arial" w:hAnsi="Arial" w:eastAsia="Arial" w:cs="Arial"/>
                <w:b w:val="0"/>
                <w:sz w:val="17"/>
              </w:rPr>
              <w:t>□ Other:</w:t>
            </w:r>
          </w:p>
        </w:tc>
      </w:tr>
      <w:tr>
        <w:trPr>
          <w:trHeight w:val="1176" w:hRule="atLeast"/>
          <w:cantSplit w:val="true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/>
                <w:sz w:val="17"/>
              </w:rPr>
              <w:t>Equipment to Be Provided by the Examinee</w:t>
            </w:r>
          </w:p>
        </w:tc>
        <w:tc>
          <w:tcPr>
            <w:tcW w:w="7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sz w:val="17"/>
              </w:rPr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677"/>
        <w:gridCol w:w="4677"/>
      </w:tblGrid>
      <w:tr>
        <w:trPr>
          <w:cantSplit/>
        </w:trPr>
        <w:tc>
          <w:tcPr>
            <w:tcW w:type="dxa" w:w="4677"/>
            <w:vAlign w:val="center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p>
            <w:pPr>
              <w:spacing w:after="0" w:line="216" w:lineRule="auto"/>
              <w:jc w:val="left"/>
            </w:pPr>
            <w:r>
              <w:rPr>
                <w:rFonts w:ascii="Arial" w:hAnsi="Arial" w:eastAsia="Arial" w:cs="Arial"/>
                <w:b/>
                <w:color w:val="DC0000"/>
                <w:sz w:val="14"/>
              </w:rPr>
              <w:t>Note: Requests for the above services must be submitted together with the qualifying-examination application; otherwise, they will not be accepted.</w:t>
            </w:r>
          </w:p>
        </w:tc>
        <w:tc>
          <w:tcPr>
            <w:tcW w:type="dxa" w:w="4677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16" w:lineRule="auto"/>
              <w:jc w:val="center"/>
            </w:pPr>
            <w:r>
              <w:rPr>
                <w:rFonts w:ascii="Arial" w:hAnsi="Arial" w:eastAsia="Arial" w:cs="Arial"/>
                <w:b w:val="0"/>
                <w:sz w:val="18"/>
              </w:rPr>
              <w:t>Examinee’s Signature: ____________________________</w:t>
            </w:r>
          </w:p>
        </w:tc>
      </w:tr>
      <w:tr>
        <w:trPr>
          <w:cantSplit/>
        </w:trPr>
        <w:tc>
          <w:tcPr>
            <w:tcW w:type="dxa" w:w="4677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 w:val="0"/>
                <w:sz w:val="17"/>
              </w:rPr>
              <w:t>Advisor’s Signature: ____________________________</w:t>
            </w:r>
          </w:p>
        </w:tc>
        <w:tc>
          <w:tcPr>
            <w:tcW w:type="dxa" w:w="4677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b w:val="0"/>
                <w:sz w:val="17"/>
              </w:rPr>
              <w:t>Unit Head’s Signature: ____________________________</w:t>
            </w:r>
          </w:p>
        </w:tc>
      </w:tr>
    </w:tbl>
    <w:p>
      <w:pPr>
        <w:snapToGrid w:val="0"/>
        <w:pStyle w:val="Normal"/>
        <w:widowControl/>
        <w:autoSpaceDE w:val="false"/>
        <w:spacing w:lineRule="exact" w:line="360" w:before="0" w:after="0"/>
        <w:jc w:val="right"/>
        <w:textAlignment w:val="bottom"/>
        <w:rPr/>
      </w:pPr>
      <w:r>
        <w:rPr>
          <w:rFonts w:ascii="Arial" w:hAnsi="Arial" w:eastAsia="Arial" w:cs="Arial"/>
          <w:sz w:val="2"/>
        </w:rPr>
      </w:r>
    </w:p>
    <w:sectPr>
      <w:headerReference w:type="default" r:id="rId2"/>
      <w:footerReference w:type="default" r:id="rId7"/>
      <w:type w:val="nextPage"/>
      <w:pgSz w:w="11906" w:h="16838"/>
      <w:pgMar w:left="1134" w:right="1418" w:gutter="0" w:header="851" w:top="648" w:footer="216" w:bottom="792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標楷體">
    <w:charset w:val="88"/>
    <w:family w:val="script"/>
    <w:pitch w:val="default"/>
  </w:font>
  <w:font w:name="Wingdings">
    <w:charset w:val="02"/>
    <w:family w:val="auto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華康魏碑體">
    <w:charset w:val="88"/>
    <w:family w:val="script"/>
    <w:pitch w:val="default"/>
  </w:font>
  <w:font w:name="新細明體">
    <w:altName w:val="PMingLiU"/>
    <w:charset w:val="88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napToGrid w:val="0"/>
      <w:pStyle w:val="Footer"/>
      <w:spacing w:before="0" w:after="0" w:line="204" w:lineRule="auto"/>
      <w:jc w:val="center"/>
    </w:pPr>
    <w:r>
      <w:rPr>
        <w:rFonts w:ascii="Arial" w:hAnsi="Arial" w:eastAsia="Arial" w:cs="Arial"/>
        <w:i/>
        <w:color w:val="FF0000"/>
        <w:sz w:val="13"/>
      </w:rPr>
      <w:t>英文譯本僅供參考，文義如與中文版有歧異，概以中文版為準。</w:t>
      <w:br/>
      <w:t>The English version is provided for reference only. The Chinese version shall prevail in case of any discrepancies between the English and Chinese versions.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napToGrid w:val="0"/>
      <w:pStyle w:val="Header"/>
      <w:ind w:right="400"/>
      <w:jc w:val="right"/>
      <w:rPr/>
    </w:pPr>
    <w:r>
      <w:rPr>
        <w:rFonts w:ascii="Arial" w:hAnsi="Arial" w:eastAsia="Arial" w:cs="Arial"/>
        <w:sz w:val="18"/>
      </w:rPr>
      <w:t>Application Date: ______ / ______ / 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486"/>
        </w:tabs>
        <w:ind w:left="486" w:hanging="360"/>
      </w:pPr>
      <w:rPr>
        <w:rFonts w:ascii="標楷體" w:hAnsi="標楷體" w:cs="標楷體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character" w:styleId="WW8Num1z0">
    <w:name w:val="WW8Num1z0"/>
    <w:qFormat/>
    <w:rPr>
      <w:rFonts w:ascii="標楷體" w:hAnsi="標楷體" w:eastAsia="標楷體" w:cs="Times New Roman"/>
    </w:rPr>
  </w:style>
  <w:style w:type="character" w:styleId="WW8Num2z0">
    <w:name w:val="WW8Num2z0"/>
    <w:qFormat/>
    <w:rPr>
      <w:rFonts w:ascii="標楷體" w:hAnsi="標楷體" w:eastAsia="標楷體" w:cs="Times New Roman"/>
    </w:rPr>
  </w:style>
  <w:style w:type="character" w:styleId="WW8Num2z1">
    <w:name w:val="WW8Num2z1"/>
    <w:qFormat/>
    <w:rPr>
      <w:rFonts w:ascii="Wingdings" w:hAnsi="Wingdings" w:cs="Wingdings"/>
    </w:rPr>
  </w:style>
  <w:style w:type="character" w:styleId="WW8Num3z0">
    <w:name w:val="WW8Num3z0"/>
    <w:qFormat/>
    <w:rPr>
      <w:rFonts w:ascii="標楷體" w:hAnsi="標楷體" w:eastAsia="標楷體" w:cs="Times New Roman"/>
    </w:rPr>
  </w:style>
  <w:style w:type="character" w:styleId="WW8Num3z1">
    <w:name w:val="WW8Num3z1"/>
    <w:qFormat/>
    <w:rPr>
      <w:rFonts w:ascii="Wingdings" w:hAnsi="Wingdings" w:cs="Wingdings"/>
    </w:rPr>
  </w:style>
  <w:style w:type="character" w:styleId="WW8Num4z0">
    <w:name w:val="WW8Num4z0"/>
    <w:qFormat/>
    <w:rPr>
      <w:rFonts w:ascii="標楷體" w:hAnsi="標楷體" w:eastAsia="標楷體" w:cs="Times New Roman"/>
    </w:rPr>
  </w:style>
  <w:style w:type="character" w:styleId="WW8Num4z1">
    <w:name w:val="WW8Num4z1"/>
    <w:qFormat/>
    <w:rPr>
      <w:rFonts w:ascii="Wingdings" w:hAnsi="Wingdings" w:cs="Wingdings"/>
    </w:rPr>
  </w:style>
  <w:style w:type="character" w:styleId="WW8Num5z2">
    <w:name w:val="WW8Num5z2"/>
    <w:qFormat/>
    <w:rPr/>
  </w:style>
  <w:style w:type="character" w:styleId="WW8Num6z0">
    <w:name w:val="WW8Num6z0"/>
    <w:qFormat/>
    <w:rPr>
      <w:rFonts w:ascii="標楷體" w:hAnsi="標楷體" w:eastAsia="標楷體" w:cs="Times New Roman"/>
    </w:rPr>
  </w:style>
  <w:style w:type="character" w:styleId="WW8Num6z1">
    <w:name w:val="WW8Num6z1"/>
    <w:qFormat/>
    <w:rPr>
      <w:rFonts w:ascii="Wingdings" w:hAnsi="Wingdings" w:cs="Wingdings"/>
    </w:rPr>
  </w:style>
  <w:style w:type="character" w:styleId="Style14">
    <w:name w:val="預設段落字型"/>
    <w:qFormat/>
    <w:rPr/>
  </w:style>
  <w:style w:type="character" w:styleId="Style15">
    <w:name w:val="註解方塊文字 字元"/>
    <w:qFormat/>
    <w:rPr>
      <w:rFonts w:ascii="Cambria" w:hAnsi="Cambria" w:eastAsia="新細明體;PMingLiU" w:cs="Times New Roman"/>
      <w:kern w:val="2"/>
      <w:sz w:val="18"/>
      <w:szCs w:val="18"/>
    </w:rPr>
  </w:style>
  <w:style w:type="character" w:styleId="Style16">
    <w:name w:val="頁首 字元"/>
    <w:qFormat/>
    <w:rPr>
      <w:kern w:val="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/>
    <w:rPr>
      <w:rFonts w:ascii="標楷體" w:hAnsi="標楷體" w:eastAsia="標楷體"/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">
    <w:name w:val="Body Text Indent"/>
    <w:basedOn w:val="Normal"/>
    <w:pPr>
      <w:ind w:hanging="480" w:left="48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  <w:lang w:val="en-US"/>
    </w:rPr>
  </w:style>
  <w:style w:type="paragraph" w:styleId="Footer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17">
    <w:name w:val="註解方塊文字"/>
    <w:basedOn w:val="Normal"/>
    <w:qFormat/>
    <w:pPr/>
    <w:rPr>
      <w:rFonts w:ascii="Cambria" w:hAnsi="Cambria" w:cs="Cambria"/>
      <w:sz w:val="18"/>
      <w:szCs w:val="18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2012-07-03T06:54:00Z</dcterms:created>
  <dc:creator>考試業務處</dc:creator>
  <dc:description/>
  <cp:keywords/>
  <dc:language>en-US</dc:language>
  <cp:lastModifiedBy>ntu</cp:lastModifiedBy>
  <cp:lastPrinted>2012-06-14T11:10:00Z</cp:lastPrinted>
  <dcterms:modified xsi:type="dcterms:W3CDTF">2012-07-03T06:54:00Z</dcterms:modified>
  <cp:revision>2</cp:revision>
  <dc:subject/>
  <dc:title>有關九十一學年度能力測驗試場規則及違規處理辦法中扣分乙節，本處意見如下：</dc:title>
</cp:coreProperties>
</file>